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164" w:rsidRDefault="00161164">
      <w:pPr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Tabella delle Misure di prevenzione</w:t>
      </w:r>
    </w:p>
    <w:p w:rsidR="00161164" w:rsidRDefault="00161164">
      <w:pPr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 Allegato al </w:t>
      </w:r>
      <w:proofErr w:type="spellStart"/>
      <w:r>
        <w:rPr>
          <w:b/>
          <w:smallCaps/>
          <w:sz w:val="36"/>
          <w:szCs w:val="36"/>
        </w:rPr>
        <w:t>ptpct</w:t>
      </w:r>
      <w:proofErr w:type="spellEnd"/>
      <w:r>
        <w:rPr>
          <w:b/>
          <w:smallCaps/>
          <w:sz w:val="36"/>
          <w:szCs w:val="36"/>
        </w:rPr>
        <w:t xml:space="preserve"> dell’Ordine del </w:t>
      </w:r>
      <w:proofErr w:type="spellStart"/>
      <w:r>
        <w:rPr>
          <w:b/>
          <w:smallCaps/>
          <w:sz w:val="36"/>
          <w:szCs w:val="36"/>
        </w:rPr>
        <w:t>vco</w:t>
      </w:r>
      <w:proofErr w:type="spellEnd"/>
    </w:p>
    <w:p w:rsidR="00161164" w:rsidRDefault="00161164">
      <w:pPr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 (20</w:t>
      </w:r>
      <w:r w:rsidR="000D1737">
        <w:rPr>
          <w:b/>
          <w:smallCaps/>
          <w:sz w:val="36"/>
          <w:szCs w:val="36"/>
        </w:rPr>
        <w:t>2</w:t>
      </w:r>
      <w:r w:rsidR="008874A8">
        <w:rPr>
          <w:b/>
          <w:smallCaps/>
          <w:sz w:val="36"/>
          <w:szCs w:val="36"/>
        </w:rPr>
        <w:t>1</w:t>
      </w:r>
      <w:r>
        <w:rPr>
          <w:b/>
          <w:smallCaps/>
          <w:sz w:val="36"/>
          <w:szCs w:val="36"/>
        </w:rPr>
        <w:t xml:space="preserve"> – 202</w:t>
      </w:r>
      <w:r w:rsidR="008874A8">
        <w:rPr>
          <w:b/>
          <w:smallCaps/>
          <w:sz w:val="36"/>
          <w:szCs w:val="36"/>
        </w:rPr>
        <w:t>3</w:t>
      </w:r>
      <w:bookmarkStart w:id="0" w:name="_GoBack"/>
      <w:bookmarkEnd w:id="0"/>
      <w:r>
        <w:rPr>
          <w:b/>
          <w:smallCaps/>
          <w:sz w:val="36"/>
          <w:szCs w:val="36"/>
        </w:rPr>
        <w:t>)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637"/>
        <w:gridCol w:w="3319"/>
        <w:gridCol w:w="1828"/>
        <w:gridCol w:w="5498"/>
      </w:tblGrid>
      <w:tr w:rsidR="00161164" w:rsidTr="003B0DAC">
        <w:tc>
          <w:tcPr>
            <w:tcW w:w="3665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Area di rischio</w:t>
            </w:r>
          </w:p>
        </w:tc>
        <w:tc>
          <w:tcPr>
            <w:tcW w:w="337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Rischio individuato</w:t>
            </w:r>
          </w:p>
        </w:tc>
        <w:tc>
          <w:tcPr>
            <w:tcW w:w="183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Livello di rischio attribuito (ponderazione)</w:t>
            </w:r>
          </w:p>
        </w:tc>
        <w:tc>
          <w:tcPr>
            <w:tcW w:w="5622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Misura di prevenzione</w:t>
            </w:r>
          </w:p>
        </w:tc>
      </w:tr>
      <w:tr w:rsidR="00161164" w:rsidTr="003B0DAC">
        <w:trPr>
          <w:trHeight w:val="303"/>
        </w:trPr>
        <w:tc>
          <w:tcPr>
            <w:tcW w:w="3665" w:type="dxa"/>
            <w:shd w:val="clear" w:color="auto" w:fill="FF0000"/>
            <w:tcMar>
              <w:left w:w="103" w:type="dxa"/>
            </w:tcMar>
          </w:tcPr>
          <w:p w:rsidR="00161164" w:rsidRDefault="00161164">
            <w:pPr>
              <w:spacing w:after="0"/>
              <w:rPr>
                <w:b/>
                <w:smallCaps/>
                <w:dstrike/>
              </w:rPr>
            </w:pPr>
            <w:r>
              <w:rPr>
                <w:b/>
                <w:smallCaps/>
                <w:dstrike/>
              </w:rPr>
              <w:t>Area acquisizione e progressione del personale</w:t>
            </w:r>
          </w:p>
          <w:p w:rsidR="00161164" w:rsidRDefault="00161164">
            <w:pPr>
              <w:spacing w:after="0"/>
              <w:rPr>
                <w:dstrike/>
              </w:rPr>
            </w:pPr>
          </w:p>
        </w:tc>
        <w:tc>
          <w:tcPr>
            <w:tcW w:w="3378" w:type="dxa"/>
            <w:shd w:val="clear" w:color="auto" w:fill="FF0000"/>
            <w:tcMar>
              <w:left w:w="103" w:type="dxa"/>
            </w:tcMar>
          </w:tcPr>
          <w:p w:rsidR="00161164" w:rsidRDefault="00161164">
            <w:pPr>
              <w:spacing w:after="0"/>
              <w:rPr>
                <w:dstrike/>
                <w:color w:val="FF0000"/>
              </w:rPr>
            </w:pPr>
          </w:p>
        </w:tc>
        <w:tc>
          <w:tcPr>
            <w:tcW w:w="1838" w:type="dxa"/>
            <w:shd w:val="clear" w:color="auto" w:fill="FF0000"/>
            <w:tcMar>
              <w:left w:w="103" w:type="dxa"/>
            </w:tcMar>
          </w:tcPr>
          <w:p w:rsidR="00161164" w:rsidRDefault="00161164">
            <w:pPr>
              <w:spacing w:after="0"/>
              <w:rPr>
                <w:color w:val="FF0000"/>
              </w:rPr>
            </w:pPr>
          </w:p>
        </w:tc>
        <w:tc>
          <w:tcPr>
            <w:tcW w:w="5622" w:type="dxa"/>
            <w:shd w:val="clear" w:color="auto" w:fill="FF0000"/>
            <w:tcMar>
              <w:left w:w="103" w:type="dxa"/>
            </w:tcMar>
          </w:tcPr>
          <w:p w:rsidR="00161164" w:rsidRDefault="00161164">
            <w:pPr>
              <w:pStyle w:val="Paragrafoelenco"/>
              <w:spacing w:after="0"/>
              <w:rPr>
                <w:color w:val="FF0000"/>
              </w:rPr>
            </w:pPr>
          </w:p>
        </w:tc>
      </w:tr>
      <w:tr w:rsidR="00161164" w:rsidTr="003B0DAC">
        <w:trPr>
          <w:trHeight w:val="301"/>
        </w:trPr>
        <w:tc>
          <w:tcPr>
            <w:tcW w:w="3665" w:type="dxa"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  <w:rPr>
                <w:dstrike/>
              </w:rPr>
            </w:pPr>
            <w:r>
              <w:rPr>
                <w:dstrike/>
              </w:rPr>
              <w:t>Reclutamento</w:t>
            </w:r>
          </w:p>
        </w:tc>
        <w:tc>
          <w:tcPr>
            <w:tcW w:w="337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  <w:rPr>
                <w:dstrike/>
              </w:rPr>
            </w:pPr>
            <w:r>
              <w:rPr>
                <w:dstrike/>
              </w:rPr>
              <w:t>Alterazione dei risultati della procedura concorsuale</w:t>
            </w:r>
          </w:p>
        </w:tc>
        <w:tc>
          <w:tcPr>
            <w:tcW w:w="183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622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pStyle w:val="Paragrafoelenco"/>
              <w:spacing w:after="0"/>
            </w:pPr>
          </w:p>
        </w:tc>
      </w:tr>
      <w:tr w:rsidR="00161164" w:rsidTr="003B0DAC">
        <w:trPr>
          <w:trHeight w:val="301"/>
        </w:trPr>
        <w:tc>
          <w:tcPr>
            <w:tcW w:w="3665" w:type="dxa"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  <w:rPr>
                <w:dstrike/>
              </w:rPr>
            </w:pPr>
            <w:r>
              <w:rPr>
                <w:dstrike/>
              </w:rPr>
              <w:t>Progressioni di carriera</w:t>
            </w:r>
          </w:p>
        </w:tc>
        <w:tc>
          <w:tcPr>
            <w:tcW w:w="337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  <w:rPr>
                <w:dstrike/>
              </w:rPr>
            </w:pPr>
            <w:r>
              <w:rPr>
                <w:dstrike/>
              </w:rPr>
              <w:t>Alterazione dei risultati della procedura</w:t>
            </w:r>
          </w:p>
        </w:tc>
        <w:tc>
          <w:tcPr>
            <w:tcW w:w="183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622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pStyle w:val="Paragrafoelenco"/>
              <w:spacing w:after="0"/>
            </w:pPr>
          </w:p>
        </w:tc>
      </w:tr>
      <w:tr w:rsidR="00161164" w:rsidTr="003B0DAC">
        <w:trPr>
          <w:trHeight w:val="75"/>
        </w:trPr>
        <w:tc>
          <w:tcPr>
            <w:tcW w:w="3665" w:type="dxa"/>
            <w:shd w:val="clear" w:color="auto" w:fill="92D050"/>
            <w:tcMar>
              <w:left w:w="103" w:type="dxa"/>
            </w:tcMar>
          </w:tcPr>
          <w:p w:rsidR="00161164" w:rsidRDefault="00161164">
            <w:pPr>
              <w:spacing w:after="0"/>
              <w:rPr>
                <w:b/>
                <w:smallCaps/>
              </w:rPr>
            </w:pPr>
            <w:r>
              <w:rPr>
                <w:b/>
                <w:smallCaps/>
              </w:rPr>
              <w:t>Area affidamento di lavori, servizi e forniture</w:t>
            </w:r>
          </w:p>
        </w:tc>
        <w:tc>
          <w:tcPr>
            <w:tcW w:w="3378" w:type="dxa"/>
            <w:shd w:val="clear" w:color="auto" w:fill="92D050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  <w:tc>
          <w:tcPr>
            <w:tcW w:w="1838" w:type="dxa"/>
            <w:shd w:val="clear" w:color="auto" w:fill="92D050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  <w:tc>
          <w:tcPr>
            <w:tcW w:w="5622" w:type="dxa"/>
            <w:shd w:val="clear" w:color="auto" w:fill="92D050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</w:tr>
      <w:tr w:rsidR="00161164" w:rsidTr="003B0DAC">
        <w:trPr>
          <w:trHeight w:val="75"/>
        </w:trPr>
        <w:tc>
          <w:tcPr>
            <w:tcW w:w="3665" w:type="dxa"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Definizione dell’oggetto dell’affidamento</w:t>
            </w:r>
          </w:p>
        </w:tc>
        <w:tc>
          <w:tcPr>
            <w:tcW w:w="3378" w:type="dxa"/>
            <w:vMerge w:val="restart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  <w:jc w:val="both"/>
            </w:pPr>
            <w:r>
              <w:t>Mancanza di livello qualitativo coerente con l’esigenza manifestata</w:t>
            </w:r>
          </w:p>
          <w:p w:rsidR="00161164" w:rsidRDefault="00161164">
            <w:pPr>
              <w:spacing w:after="0"/>
            </w:pPr>
          </w:p>
          <w:p w:rsidR="00161164" w:rsidRDefault="00161164">
            <w:pPr>
              <w:spacing w:after="0"/>
            </w:pPr>
            <w:r>
              <w:t>Location dell’affidatario distante dal centro di interessi</w:t>
            </w:r>
          </w:p>
        </w:tc>
        <w:tc>
          <w:tcPr>
            <w:tcW w:w="1838" w:type="dxa"/>
            <w:vMerge w:val="restart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22" w:type="dxa"/>
            <w:vMerge w:val="restart"/>
            <w:shd w:val="clear" w:color="auto" w:fill="FFFFFF"/>
            <w:tcMar>
              <w:left w:w="103" w:type="dxa"/>
            </w:tcMar>
          </w:tcPr>
          <w:p w:rsidR="00161164" w:rsidRPr="003B0DAC" w:rsidRDefault="00161164">
            <w:pPr>
              <w:pStyle w:val="Paragrafoelenco"/>
              <w:spacing w:after="0"/>
              <w:rPr>
                <w:color w:val="auto"/>
              </w:rPr>
            </w:pPr>
            <w:r w:rsidRPr="003B0DAC">
              <w:rPr>
                <w:color w:val="auto"/>
              </w:rPr>
              <w:t>Rispetto della normativa nazionale e del Codice dei contratti</w:t>
            </w:r>
          </w:p>
          <w:p w:rsidR="00161164" w:rsidRPr="003B0DAC" w:rsidRDefault="00161164">
            <w:pPr>
              <w:pStyle w:val="Paragrafoelenco"/>
              <w:spacing w:after="0"/>
              <w:rPr>
                <w:color w:val="auto"/>
              </w:rPr>
            </w:pPr>
          </w:p>
          <w:p w:rsidR="00161164" w:rsidRDefault="00161164">
            <w:pPr>
              <w:pStyle w:val="Paragrafoelenco"/>
              <w:spacing w:after="0"/>
              <w:rPr>
                <w:color w:val="FF0000"/>
              </w:rPr>
            </w:pPr>
            <w:r w:rsidRPr="003B0DAC">
              <w:rPr>
                <w:color w:val="auto"/>
              </w:rPr>
              <w:t xml:space="preserve">Controllo in merito ai termini dell’accordo, esecuzione dei servizi, coerenza dei costi coi parametri di </w:t>
            </w:r>
            <w:proofErr w:type="spellStart"/>
            <w:r w:rsidRPr="003B0DAC">
              <w:rPr>
                <w:color w:val="auto"/>
              </w:rPr>
              <w:t>mercat</w:t>
            </w:r>
            <w:proofErr w:type="spellEnd"/>
            <w:r w:rsidRPr="003B0DAC">
              <w:rPr>
                <w:color w:val="auto"/>
              </w:rPr>
              <w:t>, modalità di pagamento</w:t>
            </w:r>
          </w:p>
        </w:tc>
      </w:tr>
      <w:tr w:rsidR="00161164" w:rsidTr="003B0DAC">
        <w:trPr>
          <w:trHeight w:val="75"/>
        </w:trPr>
        <w:tc>
          <w:tcPr>
            <w:tcW w:w="3665" w:type="dxa"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  <w:rPr>
                <w:dstrike/>
              </w:rPr>
            </w:pPr>
            <w:r>
              <w:rPr>
                <w:dstrike/>
              </w:rPr>
              <w:t>Individuazione dello strumento/istituto per l’affidamento</w:t>
            </w:r>
          </w:p>
        </w:tc>
        <w:tc>
          <w:tcPr>
            <w:tcW w:w="3378" w:type="dxa"/>
            <w:vMerge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  <w:tc>
          <w:tcPr>
            <w:tcW w:w="1838" w:type="dxa"/>
            <w:vMerge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  <w:tc>
          <w:tcPr>
            <w:tcW w:w="5622" w:type="dxa"/>
            <w:vMerge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</w:tr>
      <w:tr w:rsidR="00161164" w:rsidTr="003B0DAC">
        <w:trPr>
          <w:trHeight w:val="75"/>
        </w:trPr>
        <w:tc>
          <w:tcPr>
            <w:tcW w:w="3665" w:type="dxa"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  <w:rPr>
                <w:dstrike/>
              </w:rPr>
            </w:pPr>
            <w:r>
              <w:rPr>
                <w:dstrike/>
              </w:rPr>
              <w:t>Requisiti di qualificazione</w:t>
            </w:r>
          </w:p>
        </w:tc>
        <w:tc>
          <w:tcPr>
            <w:tcW w:w="3378" w:type="dxa"/>
            <w:vMerge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  <w:tc>
          <w:tcPr>
            <w:tcW w:w="1838" w:type="dxa"/>
            <w:vMerge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  <w:tc>
          <w:tcPr>
            <w:tcW w:w="5622" w:type="dxa"/>
            <w:vMerge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</w:tr>
      <w:tr w:rsidR="00161164" w:rsidTr="003B0DAC">
        <w:trPr>
          <w:trHeight w:val="75"/>
        </w:trPr>
        <w:tc>
          <w:tcPr>
            <w:tcW w:w="3665" w:type="dxa"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  <w:rPr>
                <w:dstrike/>
              </w:rPr>
            </w:pPr>
            <w:r>
              <w:rPr>
                <w:dstrike/>
              </w:rPr>
              <w:t>Requisiti di aggiudicazione</w:t>
            </w:r>
          </w:p>
        </w:tc>
        <w:tc>
          <w:tcPr>
            <w:tcW w:w="3378" w:type="dxa"/>
            <w:vMerge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  <w:tc>
          <w:tcPr>
            <w:tcW w:w="1838" w:type="dxa"/>
            <w:vMerge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  <w:tc>
          <w:tcPr>
            <w:tcW w:w="5622" w:type="dxa"/>
            <w:vMerge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</w:tr>
      <w:tr w:rsidR="00161164" w:rsidTr="003B0DAC">
        <w:trPr>
          <w:trHeight w:val="75"/>
        </w:trPr>
        <w:tc>
          <w:tcPr>
            <w:tcW w:w="3665" w:type="dxa"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  <w:rPr>
                <w:dstrike/>
              </w:rPr>
            </w:pPr>
            <w:r>
              <w:rPr>
                <w:dstrike/>
              </w:rPr>
              <w:t>Valutazione delle offerte</w:t>
            </w:r>
          </w:p>
        </w:tc>
        <w:tc>
          <w:tcPr>
            <w:tcW w:w="3378" w:type="dxa"/>
            <w:vMerge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  <w:tc>
          <w:tcPr>
            <w:tcW w:w="1838" w:type="dxa"/>
            <w:vMerge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  <w:tc>
          <w:tcPr>
            <w:tcW w:w="5622" w:type="dxa"/>
            <w:vMerge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</w:tr>
      <w:tr w:rsidR="00161164" w:rsidTr="003B0DAC">
        <w:trPr>
          <w:trHeight w:val="75"/>
        </w:trPr>
        <w:tc>
          <w:tcPr>
            <w:tcW w:w="3665" w:type="dxa"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  <w:rPr>
                <w:dstrike/>
              </w:rPr>
            </w:pPr>
            <w:r>
              <w:rPr>
                <w:dstrike/>
              </w:rPr>
              <w:t>Verifica dell’eventuali anomalia delle offerte</w:t>
            </w:r>
          </w:p>
        </w:tc>
        <w:tc>
          <w:tcPr>
            <w:tcW w:w="3378" w:type="dxa"/>
            <w:vMerge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  <w:tc>
          <w:tcPr>
            <w:tcW w:w="1838" w:type="dxa"/>
            <w:vMerge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  <w:tc>
          <w:tcPr>
            <w:tcW w:w="5622" w:type="dxa"/>
            <w:vMerge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</w:tr>
      <w:tr w:rsidR="00161164" w:rsidTr="003B0DAC">
        <w:trPr>
          <w:trHeight w:val="75"/>
        </w:trPr>
        <w:tc>
          <w:tcPr>
            <w:tcW w:w="3665" w:type="dxa"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Affidamenti diretti</w:t>
            </w:r>
          </w:p>
        </w:tc>
        <w:tc>
          <w:tcPr>
            <w:tcW w:w="337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Mancanza di livello qualitativo coerente con l’esigenza manifestata</w:t>
            </w:r>
          </w:p>
          <w:p w:rsidR="00161164" w:rsidRDefault="00161164">
            <w:pPr>
              <w:spacing w:after="0"/>
            </w:pPr>
          </w:p>
          <w:p w:rsidR="00161164" w:rsidRDefault="00161164">
            <w:pPr>
              <w:spacing w:after="0"/>
            </w:pPr>
            <w:r>
              <w:lastRenderedPageBreak/>
              <w:t>Location dell’affidatario distante dal centro di interessi</w:t>
            </w:r>
          </w:p>
        </w:tc>
        <w:tc>
          <w:tcPr>
            <w:tcW w:w="183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5622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pStyle w:val="Paragrafoelenco"/>
              <w:spacing w:after="0"/>
              <w:rPr>
                <w:color w:val="auto"/>
              </w:rPr>
            </w:pPr>
            <w:r w:rsidRPr="003B0DAC">
              <w:rPr>
                <w:color w:val="auto"/>
              </w:rPr>
              <w:t xml:space="preserve">Controllo in merito ai termini dell’accordo, esecuzione dei servizi, coerenza dei costi coi parametri di </w:t>
            </w:r>
            <w:proofErr w:type="spellStart"/>
            <w:r w:rsidRPr="003B0DAC">
              <w:rPr>
                <w:color w:val="auto"/>
              </w:rPr>
              <w:t>mercat</w:t>
            </w:r>
            <w:proofErr w:type="spellEnd"/>
            <w:r w:rsidRPr="003B0DAC">
              <w:rPr>
                <w:color w:val="auto"/>
              </w:rPr>
              <w:t>, modalità di pagamento</w:t>
            </w:r>
          </w:p>
          <w:p w:rsidR="00161164" w:rsidRDefault="00161164">
            <w:pPr>
              <w:pStyle w:val="Paragrafoelenco"/>
              <w:spacing w:after="0"/>
            </w:pPr>
            <w:r>
              <w:rPr>
                <w:color w:val="auto"/>
              </w:rPr>
              <w:t>Valutazione comparativa delle proposte economiche</w:t>
            </w:r>
          </w:p>
        </w:tc>
      </w:tr>
      <w:tr w:rsidR="00161164" w:rsidTr="003B0DAC">
        <w:trPr>
          <w:trHeight w:val="51"/>
        </w:trPr>
        <w:tc>
          <w:tcPr>
            <w:tcW w:w="3665" w:type="dxa"/>
            <w:shd w:val="clear" w:color="auto" w:fill="C5E0B3"/>
            <w:tcMar>
              <w:left w:w="103" w:type="dxa"/>
            </w:tcMar>
          </w:tcPr>
          <w:p w:rsidR="00161164" w:rsidRDefault="00161164">
            <w:pPr>
              <w:spacing w:after="0"/>
              <w:rPr>
                <w:b/>
                <w:smallCaps/>
              </w:rPr>
            </w:pPr>
          </w:p>
          <w:p w:rsidR="00161164" w:rsidRDefault="00161164">
            <w:pPr>
              <w:spacing w:after="0"/>
              <w:rPr>
                <w:b/>
                <w:smallCaps/>
              </w:rPr>
            </w:pPr>
            <w:r>
              <w:rPr>
                <w:b/>
                <w:smallCaps/>
              </w:rPr>
              <w:t>Area affidamenti incarichi esterni (consulenza servizi professionali)</w:t>
            </w:r>
          </w:p>
        </w:tc>
        <w:tc>
          <w:tcPr>
            <w:tcW w:w="10838" w:type="dxa"/>
            <w:gridSpan w:val="3"/>
            <w:shd w:val="clear" w:color="auto" w:fill="C5E0B3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  <w:p w:rsidR="00161164" w:rsidRDefault="00161164">
            <w:pPr>
              <w:spacing w:after="0"/>
            </w:pPr>
          </w:p>
          <w:p w:rsidR="00161164" w:rsidRDefault="00161164">
            <w:pPr>
              <w:spacing w:after="0"/>
            </w:pPr>
          </w:p>
        </w:tc>
      </w:tr>
      <w:tr w:rsidR="00161164" w:rsidTr="003B0DAC">
        <w:trPr>
          <w:trHeight w:val="50"/>
        </w:trPr>
        <w:tc>
          <w:tcPr>
            <w:tcW w:w="3665" w:type="dxa"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  <w:rPr>
                <w:dstrike/>
              </w:rPr>
            </w:pPr>
            <w:r>
              <w:rPr>
                <w:dstrike/>
              </w:rPr>
              <w:t>Identificazione del soggetto/ufficio richiedente</w:t>
            </w:r>
          </w:p>
        </w:tc>
        <w:tc>
          <w:tcPr>
            <w:tcW w:w="3378" w:type="dxa"/>
            <w:vMerge w:val="restart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  <w:rPr>
                <w:dstrike/>
              </w:rPr>
            </w:pPr>
            <w:r>
              <w:rPr>
                <w:dstrike/>
              </w:rPr>
              <w:t>Motivazione generica circa la necessità del consulente o collaboratore esterno</w:t>
            </w:r>
          </w:p>
          <w:p w:rsidR="00161164" w:rsidRDefault="00161164">
            <w:pPr>
              <w:spacing w:after="0"/>
              <w:rPr>
                <w:dstrike/>
              </w:rPr>
            </w:pPr>
          </w:p>
          <w:p w:rsidR="00161164" w:rsidRDefault="00161164">
            <w:pPr>
              <w:spacing w:after="0"/>
              <w:rPr>
                <w:dstrike/>
              </w:rPr>
            </w:pPr>
            <w:r>
              <w:rPr>
                <w:dstrike/>
              </w:rPr>
              <w:t>Requisiti generici ed insufficienza di criteri oggettivi per verificare che il consulente o collaboratore sia realmente in possesso delle competenze necessarie</w:t>
            </w:r>
          </w:p>
        </w:tc>
        <w:tc>
          <w:tcPr>
            <w:tcW w:w="1838" w:type="dxa"/>
            <w:vMerge w:val="restart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622" w:type="dxa"/>
            <w:vMerge w:val="restart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pStyle w:val="Paragrafoelenco"/>
              <w:spacing w:after="0"/>
            </w:pPr>
          </w:p>
        </w:tc>
      </w:tr>
      <w:tr w:rsidR="00161164" w:rsidTr="003B0DAC">
        <w:trPr>
          <w:trHeight w:val="50"/>
        </w:trPr>
        <w:tc>
          <w:tcPr>
            <w:tcW w:w="3665" w:type="dxa"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  <w:rPr>
                <w:strike/>
              </w:rPr>
            </w:pPr>
            <w:r>
              <w:rPr>
                <w:strike/>
              </w:rPr>
              <w:t>Definizione dell’oggetto dell’affidamento</w:t>
            </w:r>
          </w:p>
        </w:tc>
        <w:tc>
          <w:tcPr>
            <w:tcW w:w="3378" w:type="dxa"/>
            <w:vMerge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  <w:tc>
          <w:tcPr>
            <w:tcW w:w="1838" w:type="dxa"/>
            <w:vMerge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  <w:tc>
          <w:tcPr>
            <w:tcW w:w="5622" w:type="dxa"/>
            <w:vMerge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</w:tr>
      <w:tr w:rsidR="00161164" w:rsidTr="003B0DAC">
        <w:trPr>
          <w:trHeight w:val="50"/>
        </w:trPr>
        <w:tc>
          <w:tcPr>
            <w:tcW w:w="3665" w:type="dxa"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  <w:rPr>
                <w:strike/>
              </w:rPr>
            </w:pPr>
            <w:r>
              <w:rPr>
                <w:strike/>
              </w:rPr>
              <w:t>Individuazione dei requisiti per l’affidamento</w:t>
            </w:r>
          </w:p>
        </w:tc>
        <w:tc>
          <w:tcPr>
            <w:tcW w:w="3378" w:type="dxa"/>
            <w:vMerge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  <w:tc>
          <w:tcPr>
            <w:tcW w:w="1838" w:type="dxa"/>
            <w:vMerge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  <w:tc>
          <w:tcPr>
            <w:tcW w:w="5622" w:type="dxa"/>
            <w:vMerge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</w:tr>
      <w:tr w:rsidR="00161164" w:rsidTr="003B0DAC">
        <w:trPr>
          <w:trHeight w:val="50"/>
        </w:trPr>
        <w:tc>
          <w:tcPr>
            <w:tcW w:w="3665" w:type="dxa"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  <w:rPr>
                <w:strike/>
              </w:rPr>
            </w:pPr>
            <w:r>
              <w:rPr>
                <w:strike/>
              </w:rPr>
              <w:t>Valutazione dei requisiti per l’affidamento</w:t>
            </w:r>
          </w:p>
        </w:tc>
        <w:tc>
          <w:tcPr>
            <w:tcW w:w="3378" w:type="dxa"/>
            <w:vMerge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  <w:tc>
          <w:tcPr>
            <w:tcW w:w="1838" w:type="dxa"/>
            <w:vMerge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  <w:tc>
          <w:tcPr>
            <w:tcW w:w="5622" w:type="dxa"/>
            <w:vMerge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</w:tr>
      <w:tr w:rsidR="00161164" w:rsidTr="003B0DAC">
        <w:trPr>
          <w:trHeight w:val="50"/>
        </w:trPr>
        <w:tc>
          <w:tcPr>
            <w:tcW w:w="3665" w:type="dxa"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  <w:rPr>
                <w:strike/>
              </w:rPr>
            </w:pPr>
            <w:r>
              <w:rPr>
                <w:strike/>
              </w:rPr>
              <w:t>Conferimento dell’incarico</w:t>
            </w:r>
          </w:p>
        </w:tc>
        <w:tc>
          <w:tcPr>
            <w:tcW w:w="3378" w:type="dxa"/>
            <w:vMerge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  <w:tc>
          <w:tcPr>
            <w:tcW w:w="1838" w:type="dxa"/>
            <w:vMerge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  <w:tc>
          <w:tcPr>
            <w:tcW w:w="5622" w:type="dxa"/>
            <w:vMerge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</w:tr>
      <w:tr w:rsidR="00161164" w:rsidTr="003B0DAC">
        <w:trPr>
          <w:trHeight w:val="51"/>
        </w:trPr>
        <w:tc>
          <w:tcPr>
            <w:tcW w:w="3665" w:type="dxa"/>
            <w:shd w:val="clear" w:color="auto" w:fill="FFFF00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  <w:p w:rsidR="00161164" w:rsidRDefault="00161164">
            <w:pPr>
              <w:spacing w:after="0"/>
              <w:rPr>
                <w:b/>
                <w:smallCaps/>
              </w:rPr>
            </w:pPr>
            <w:r>
              <w:rPr>
                <w:b/>
                <w:smallCaps/>
              </w:rPr>
              <w:t>Area provvedimenti</w:t>
            </w:r>
          </w:p>
          <w:p w:rsidR="00161164" w:rsidRDefault="00161164">
            <w:pPr>
              <w:spacing w:after="0"/>
            </w:pPr>
          </w:p>
        </w:tc>
        <w:tc>
          <w:tcPr>
            <w:tcW w:w="3378" w:type="dxa"/>
            <w:shd w:val="clear" w:color="auto" w:fill="FFFF00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  <w:tc>
          <w:tcPr>
            <w:tcW w:w="1838" w:type="dxa"/>
            <w:shd w:val="clear" w:color="auto" w:fill="FFFF00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  <w:tc>
          <w:tcPr>
            <w:tcW w:w="5622" w:type="dxa"/>
            <w:shd w:val="clear" w:color="auto" w:fill="FFFF00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</w:tr>
      <w:tr w:rsidR="00161164" w:rsidTr="003B0DAC">
        <w:trPr>
          <w:trHeight w:val="675"/>
        </w:trPr>
        <w:tc>
          <w:tcPr>
            <w:tcW w:w="3665" w:type="dxa"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Provvedimenti amministrativi</w:t>
            </w:r>
          </w:p>
        </w:tc>
        <w:tc>
          <w:tcPr>
            <w:tcW w:w="337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Inappropriata valutazione sulla richiesta di iscrizione all’Albo</w:t>
            </w:r>
          </w:p>
        </w:tc>
        <w:tc>
          <w:tcPr>
            <w:tcW w:w="183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2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Predisposizione procedura scritta</w:t>
            </w:r>
          </w:p>
          <w:p w:rsidR="00161164" w:rsidRDefault="00161164">
            <w:pPr>
              <w:spacing w:after="0"/>
            </w:pPr>
            <w:r>
              <w:t>Presenza del RUP</w:t>
            </w:r>
          </w:p>
          <w:p w:rsidR="00161164" w:rsidRDefault="00161164">
            <w:pPr>
              <w:spacing w:after="0"/>
            </w:pPr>
            <w:r>
              <w:t>Tutela amministrativa e giurisdizionale del richiedente</w:t>
            </w:r>
          </w:p>
        </w:tc>
      </w:tr>
      <w:tr w:rsidR="00161164" w:rsidTr="003B0DAC">
        <w:trPr>
          <w:trHeight w:val="675"/>
        </w:trPr>
        <w:tc>
          <w:tcPr>
            <w:tcW w:w="3665" w:type="dxa"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Provvedimenti amministrativi</w:t>
            </w:r>
          </w:p>
        </w:tc>
        <w:tc>
          <w:tcPr>
            <w:tcW w:w="337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Omessa/ritardata cancellazione dall’Albo in presenza di motivi necessari</w:t>
            </w:r>
          </w:p>
        </w:tc>
        <w:tc>
          <w:tcPr>
            <w:tcW w:w="183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2" w:type="dxa"/>
            <w:shd w:val="clear" w:color="auto" w:fill="FFFFFF"/>
            <w:tcMar>
              <w:left w:w="103" w:type="dxa"/>
            </w:tcMar>
          </w:tcPr>
          <w:p w:rsidR="00161164" w:rsidRDefault="00161164" w:rsidP="003B0DAC">
            <w:pPr>
              <w:spacing w:after="0"/>
            </w:pPr>
            <w:r>
              <w:t>Predisposizione procedura scritta</w:t>
            </w:r>
          </w:p>
          <w:p w:rsidR="00161164" w:rsidRDefault="00161164" w:rsidP="003B0DAC">
            <w:pPr>
              <w:spacing w:after="0"/>
            </w:pPr>
            <w:r>
              <w:t>Presenza del RUP</w:t>
            </w:r>
          </w:p>
          <w:p w:rsidR="00161164" w:rsidRDefault="00161164" w:rsidP="003B0DAC">
            <w:pPr>
              <w:spacing w:after="0"/>
            </w:pPr>
            <w:r>
              <w:t>Tutela amministrativa e giurisdizionale del richiedente</w:t>
            </w:r>
          </w:p>
        </w:tc>
      </w:tr>
      <w:tr w:rsidR="00161164" w:rsidTr="003B0DAC">
        <w:trPr>
          <w:trHeight w:val="675"/>
        </w:trPr>
        <w:tc>
          <w:tcPr>
            <w:tcW w:w="3665" w:type="dxa"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Provvedimenti amministrativi</w:t>
            </w:r>
          </w:p>
        </w:tc>
        <w:tc>
          <w:tcPr>
            <w:tcW w:w="337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Inappropriato procedimento per l’opinamento di parcelle</w:t>
            </w:r>
          </w:p>
        </w:tc>
        <w:tc>
          <w:tcPr>
            <w:tcW w:w="183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22" w:type="dxa"/>
            <w:shd w:val="clear" w:color="auto" w:fill="FFFFFF"/>
            <w:tcMar>
              <w:left w:w="103" w:type="dxa"/>
            </w:tcMar>
          </w:tcPr>
          <w:p w:rsidR="00161164" w:rsidRDefault="00161164" w:rsidP="003B0DAC">
            <w:pPr>
              <w:spacing w:after="0"/>
            </w:pPr>
            <w:r>
              <w:t>Predisposizione procedura scritta</w:t>
            </w:r>
          </w:p>
          <w:p w:rsidR="00161164" w:rsidRDefault="00161164" w:rsidP="003B0DAC">
            <w:pPr>
              <w:spacing w:after="0"/>
            </w:pPr>
            <w:r>
              <w:t>Presenza del RUP</w:t>
            </w:r>
          </w:p>
          <w:p w:rsidR="00161164" w:rsidRDefault="00161164" w:rsidP="003B0DAC">
            <w:pPr>
              <w:spacing w:after="0"/>
            </w:pPr>
            <w:r>
              <w:t>Tutela amministrativa e giurisdizionale del richiedente</w:t>
            </w:r>
          </w:p>
        </w:tc>
      </w:tr>
      <w:tr w:rsidR="00161164" w:rsidTr="003B0DAC">
        <w:trPr>
          <w:trHeight w:val="675"/>
        </w:trPr>
        <w:tc>
          <w:tcPr>
            <w:tcW w:w="3665" w:type="dxa"/>
            <w:vMerge w:val="restart"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Provvedimenti amministrativi</w:t>
            </w:r>
          </w:p>
        </w:tc>
        <w:tc>
          <w:tcPr>
            <w:tcW w:w="337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Disapplicazione della procedura relativa al processo di autorizzazione di enti terzi quali provider di formazione</w:t>
            </w:r>
          </w:p>
          <w:p w:rsidR="00161164" w:rsidRDefault="00161164">
            <w:pPr>
              <w:spacing w:after="0"/>
            </w:pPr>
          </w:p>
        </w:tc>
        <w:tc>
          <w:tcPr>
            <w:tcW w:w="183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2" w:type="dxa"/>
            <w:shd w:val="clear" w:color="auto" w:fill="FFFFFF"/>
            <w:tcMar>
              <w:left w:w="103" w:type="dxa"/>
            </w:tcMar>
          </w:tcPr>
          <w:p w:rsidR="00161164" w:rsidRDefault="00161164" w:rsidP="003B0DAC">
            <w:pPr>
              <w:spacing w:after="0"/>
            </w:pPr>
            <w:r>
              <w:t>Predisposizione procedura scritta</w:t>
            </w:r>
          </w:p>
          <w:p w:rsidR="00161164" w:rsidRDefault="00161164" w:rsidP="003B0DAC">
            <w:pPr>
              <w:spacing w:after="0"/>
            </w:pPr>
            <w:r>
              <w:t>Presenza del RUP</w:t>
            </w:r>
          </w:p>
          <w:p w:rsidR="00161164" w:rsidRDefault="00161164" w:rsidP="003B0DAC">
            <w:pPr>
              <w:spacing w:after="0"/>
            </w:pPr>
            <w:r>
              <w:t>Tutela amministrativa e giurisdizionale del richiedente</w:t>
            </w:r>
          </w:p>
          <w:p w:rsidR="00161164" w:rsidRDefault="00161164" w:rsidP="003B0DAC">
            <w:pPr>
              <w:spacing w:after="0"/>
            </w:pPr>
            <w:r>
              <w:t>Applicazione del regolamento</w:t>
            </w:r>
          </w:p>
        </w:tc>
      </w:tr>
      <w:tr w:rsidR="00161164" w:rsidTr="003B0DAC">
        <w:trPr>
          <w:trHeight w:val="675"/>
        </w:trPr>
        <w:tc>
          <w:tcPr>
            <w:tcW w:w="3665" w:type="dxa"/>
            <w:vMerge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  <w:tc>
          <w:tcPr>
            <w:tcW w:w="3378" w:type="dxa"/>
            <w:shd w:val="clear" w:color="auto" w:fill="FFFFFF"/>
            <w:tcMar>
              <w:left w:w="103" w:type="dxa"/>
            </w:tcMar>
          </w:tcPr>
          <w:p w:rsidR="00161164" w:rsidRPr="003B0DAC" w:rsidRDefault="00161164">
            <w:pPr>
              <w:spacing w:after="0"/>
              <w:rPr>
                <w:dstrike/>
              </w:rPr>
            </w:pPr>
            <w:r w:rsidRPr="003B0DAC">
              <w:rPr>
                <w:dstrike/>
              </w:rPr>
              <w:t>Comportamento discrezionale della Commissione nei procedimenti di Approvazione graduatoria di concorso relativa alle procedure di selezione</w:t>
            </w:r>
          </w:p>
        </w:tc>
        <w:tc>
          <w:tcPr>
            <w:tcW w:w="183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622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pStyle w:val="Paragrafoelenco"/>
              <w:spacing w:after="0"/>
            </w:pPr>
          </w:p>
        </w:tc>
      </w:tr>
      <w:tr w:rsidR="00161164" w:rsidTr="003B0DAC">
        <w:trPr>
          <w:trHeight w:val="50"/>
        </w:trPr>
        <w:tc>
          <w:tcPr>
            <w:tcW w:w="3665" w:type="dxa"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Provvedimenti disciplinari</w:t>
            </w:r>
          </w:p>
        </w:tc>
        <w:tc>
          <w:tcPr>
            <w:tcW w:w="337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Omessa azione disciplinare da parte del Consiglio di Disciplina o da parte del Collegio</w:t>
            </w:r>
          </w:p>
          <w:p w:rsidR="00161164" w:rsidRDefault="00161164">
            <w:pPr>
              <w:spacing w:after="0"/>
            </w:pPr>
          </w:p>
          <w:p w:rsidR="00161164" w:rsidRDefault="00161164">
            <w:pPr>
              <w:spacing w:after="0"/>
            </w:pPr>
            <w:r>
              <w:t>Ritardata azione disciplinare</w:t>
            </w:r>
          </w:p>
          <w:p w:rsidR="00161164" w:rsidRDefault="00161164">
            <w:pPr>
              <w:spacing w:after="0"/>
            </w:pPr>
            <w:r>
              <w:t>Consigliere di disciplina in conflitto di interessi</w:t>
            </w:r>
          </w:p>
          <w:p w:rsidR="00161164" w:rsidRDefault="00161164">
            <w:pPr>
              <w:spacing w:after="0"/>
            </w:pPr>
          </w:p>
          <w:p w:rsidR="00161164" w:rsidRDefault="00161164">
            <w:pPr>
              <w:spacing w:after="0"/>
            </w:pPr>
            <w:r>
              <w:t xml:space="preserve">Consigliere di disciplina che, </w:t>
            </w:r>
            <w:proofErr w:type="spellStart"/>
            <w:r>
              <w:t>benchè</w:t>
            </w:r>
            <w:proofErr w:type="spellEnd"/>
            <w:r>
              <w:t xml:space="preserve"> ricusato, non si astiene</w:t>
            </w:r>
          </w:p>
          <w:p w:rsidR="00161164" w:rsidRDefault="00161164">
            <w:pPr>
              <w:spacing w:after="0"/>
            </w:pPr>
          </w:p>
          <w:p w:rsidR="00161164" w:rsidRDefault="00161164">
            <w:pPr>
              <w:spacing w:after="0"/>
            </w:pPr>
            <w:r>
              <w:t>Inappropriata valutazione della richiesta di accesso agli atti</w:t>
            </w:r>
          </w:p>
          <w:p w:rsidR="00161164" w:rsidRDefault="00161164">
            <w:pPr>
              <w:spacing w:after="0"/>
            </w:pPr>
          </w:p>
          <w:p w:rsidR="00161164" w:rsidRDefault="00161164">
            <w:pPr>
              <w:spacing w:after="0"/>
            </w:pPr>
            <w:r>
              <w:t>Consiglio di disciplina non in grado di funzionare regolarmente</w:t>
            </w:r>
          </w:p>
          <w:p w:rsidR="00161164" w:rsidRDefault="00161164">
            <w:pPr>
              <w:spacing w:after="0"/>
            </w:pPr>
          </w:p>
          <w:p w:rsidR="00161164" w:rsidRDefault="00161164">
            <w:pPr>
              <w:spacing w:after="0"/>
            </w:pPr>
            <w:r>
              <w:t>Consiglio di disciplina o Collegio di disciplina che pone in essere reiterate e grossolane violazioni di normativa</w:t>
            </w:r>
          </w:p>
          <w:p w:rsidR="00161164" w:rsidRDefault="00161164">
            <w:pPr>
              <w:spacing w:after="0"/>
            </w:pPr>
          </w:p>
        </w:tc>
        <w:tc>
          <w:tcPr>
            <w:tcW w:w="183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22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pStyle w:val="Paragrafoelenco"/>
              <w:spacing w:after="0"/>
            </w:pPr>
            <w:r>
              <w:t>Esistenza procedura scritta</w:t>
            </w:r>
          </w:p>
          <w:p w:rsidR="00161164" w:rsidRDefault="00161164">
            <w:pPr>
              <w:pStyle w:val="Paragrafoelenco"/>
              <w:spacing w:after="0"/>
            </w:pPr>
            <w:r>
              <w:t>Presenza RUP</w:t>
            </w:r>
          </w:p>
          <w:p w:rsidR="00161164" w:rsidRDefault="00161164">
            <w:pPr>
              <w:pStyle w:val="Paragrafoelenco"/>
              <w:spacing w:after="0"/>
            </w:pPr>
            <w:r>
              <w:t>Tutela amministrativa e giurisdizionale del richiedente</w:t>
            </w:r>
          </w:p>
          <w:p w:rsidR="00161164" w:rsidRDefault="00161164">
            <w:pPr>
              <w:pStyle w:val="Paragrafoelenco"/>
              <w:spacing w:after="0"/>
            </w:pPr>
            <w:r>
              <w:t>Applicazione del regolamento</w:t>
            </w:r>
          </w:p>
        </w:tc>
      </w:tr>
      <w:tr w:rsidR="00161164" w:rsidTr="003B0DAC">
        <w:trPr>
          <w:trHeight w:val="50"/>
        </w:trPr>
        <w:tc>
          <w:tcPr>
            <w:tcW w:w="3665" w:type="dxa"/>
            <w:shd w:val="clear" w:color="auto" w:fill="00B0F0"/>
            <w:tcMar>
              <w:left w:w="103" w:type="dxa"/>
            </w:tcMar>
          </w:tcPr>
          <w:p w:rsidR="00161164" w:rsidRDefault="00161164">
            <w:pPr>
              <w:spacing w:after="0"/>
              <w:rPr>
                <w:b/>
                <w:smallCaps/>
              </w:rPr>
            </w:pPr>
          </w:p>
          <w:p w:rsidR="00161164" w:rsidRDefault="00161164">
            <w:pPr>
              <w:spacing w:after="0"/>
              <w:rPr>
                <w:b/>
                <w:smallCaps/>
              </w:rPr>
            </w:pPr>
            <w:r>
              <w:rPr>
                <w:b/>
                <w:smallCaps/>
              </w:rPr>
              <w:t>Area affidamento incarichi interni</w:t>
            </w:r>
          </w:p>
          <w:p w:rsidR="00161164" w:rsidRDefault="00161164">
            <w:pPr>
              <w:spacing w:after="0"/>
            </w:pPr>
          </w:p>
        </w:tc>
        <w:tc>
          <w:tcPr>
            <w:tcW w:w="337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  <w:tc>
          <w:tcPr>
            <w:tcW w:w="183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  <w:jc w:val="center"/>
            </w:pPr>
          </w:p>
        </w:tc>
        <w:tc>
          <w:tcPr>
            <w:tcW w:w="5622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</w:tr>
      <w:tr w:rsidR="00161164" w:rsidTr="003B0DAC">
        <w:trPr>
          <w:trHeight w:val="54"/>
        </w:trPr>
        <w:tc>
          <w:tcPr>
            <w:tcW w:w="3665" w:type="dxa"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  <w:rPr>
                <w:dstrike/>
              </w:rPr>
            </w:pPr>
            <w:r>
              <w:rPr>
                <w:dstrike/>
              </w:rPr>
              <w:t>Definizione dell’oggetto dell’affidamento</w:t>
            </w:r>
          </w:p>
        </w:tc>
        <w:tc>
          <w:tcPr>
            <w:tcW w:w="3378" w:type="dxa"/>
            <w:vMerge w:val="restart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  <w:rPr>
                <w:dstrike/>
              </w:rPr>
            </w:pPr>
            <w:r>
              <w:rPr>
                <w:dstrike/>
              </w:rPr>
              <w:t>Inappropriata valutazione della competenza del soggetto delegato</w:t>
            </w:r>
          </w:p>
        </w:tc>
        <w:tc>
          <w:tcPr>
            <w:tcW w:w="1838" w:type="dxa"/>
            <w:vMerge w:val="restart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  <w:jc w:val="center"/>
              <w:rPr>
                <w:b/>
                <w:dstrike/>
              </w:rPr>
            </w:pPr>
          </w:p>
        </w:tc>
        <w:tc>
          <w:tcPr>
            <w:tcW w:w="5622" w:type="dxa"/>
            <w:vMerge w:val="restart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pStyle w:val="Paragrafoelenco"/>
              <w:spacing w:after="0"/>
            </w:pPr>
          </w:p>
        </w:tc>
      </w:tr>
      <w:tr w:rsidR="00161164" w:rsidTr="003B0DAC">
        <w:trPr>
          <w:trHeight w:val="54"/>
        </w:trPr>
        <w:tc>
          <w:tcPr>
            <w:tcW w:w="3665" w:type="dxa"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  <w:rPr>
                <w:dstrike/>
              </w:rPr>
            </w:pPr>
            <w:r>
              <w:rPr>
                <w:dstrike/>
              </w:rPr>
              <w:lastRenderedPageBreak/>
              <w:t>Individuazione dei requisiti per l’affidamento</w:t>
            </w:r>
          </w:p>
        </w:tc>
        <w:tc>
          <w:tcPr>
            <w:tcW w:w="3378" w:type="dxa"/>
            <w:vMerge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  <w:tc>
          <w:tcPr>
            <w:tcW w:w="1838" w:type="dxa"/>
            <w:vMerge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  <w:jc w:val="center"/>
            </w:pPr>
          </w:p>
        </w:tc>
        <w:tc>
          <w:tcPr>
            <w:tcW w:w="5622" w:type="dxa"/>
            <w:vMerge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</w:tr>
      <w:tr w:rsidR="00161164" w:rsidTr="003B0DAC">
        <w:trPr>
          <w:trHeight w:val="54"/>
        </w:trPr>
        <w:tc>
          <w:tcPr>
            <w:tcW w:w="3665" w:type="dxa"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  <w:rPr>
                <w:dstrike/>
              </w:rPr>
            </w:pPr>
            <w:r>
              <w:rPr>
                <w:dstrike/>
              </w:rPr>
              <w:t>Valutazione dei requisiti per l’affidamento</w:t>
            </w:r>
          </w:p>
        </w:tc>
        <w:tc>
          <w:tcPr>
            <w:tcW w:w="3378" w:type="dxa"/>
            <w:vMerge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  <w:tc>
          <w:tcPr>
            <w:tcW w:w="1838" w:type="dxa"/>
            <w:vMerge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  <w:jc w:val="center"/>
            </w:pPr>
          </w:p>
        </w:tc>
        <w:tc>
          <w:tcPr>
            <w:tcW w:w="5622" w:type="dxa"/>
            <w:vMerge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</w:tr>
      <w:tr w:rsidR="00161164" w:rsidTr="003B0DAC">
        <w:trPr>
          <w:trHeight w:val="54"/>
        </w:trPr>
        <w:tc>
          <w:tcPr>
            <w:tcW w:w="3665" w:type="dxa"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  <w:rPr>
                <w:dstrike/>
              </w:rPr>
            </w:pPr>
            <w:r>
              <w:rPr>
                <w:dstrike/>
              </w:rPr>
              <w:t>Valutazione incompatibilità/</w:t>
            </w:r>
            <w:proofErr w:type="spellStart"/>
            <w:r>
              <w:rPr>
                <w:dstrike/>
              </w:rPr>
              <w:t>inconferibilità</w:t>
            </w:r>
            <w:proofErr w:type="spellEnd"/>
          </w:p>
        </w:tc>
        <w:tc>
          <w:tcPr>
            <w:tcW w:w="3378" w:type="dxa"/>
            <w:vMerge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  <w:tc>
          <w:tcPr>
            <w:tcW w:w="1838" w:type="dxa"/>
            <w:vMerge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  <w:jc w:val="center"/>
            </w:pPr>
          </w:p>
        </w:tc>
        <w:tc>
          <w:tcPr>
            <w:tcW w:w="5622" w:type="dxa"/>
            <w:vMerge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</w:tr>
      <w:tr w:rsidR="00161164" w:rsidTr="003B0DAC">
        <w:trPr>
          <w:trHeight w:val="54"/>
        </w:trPr>
        <w:tc>
          <w:tcPr>
            <w:tcW w:w="3665" w:type="dxa"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  <w:rPr>
                <w:dstrike/>
              </w:rPr>
            </w:pPr>
            <w:r>
              <w:rPr>
                <w:dstrike/>
              </w:rPr>
              <w:t>Conferimento dell’incarico da parte del Consiglio o del Consigliere Segretario/Consigliere Tesoriere</w:t>
            </w:r>
          </w:p>
        </w:tc>
        <w:tc>
          <w:tcPr>
            <w:tcW w:w="3378" w:type="dxa"/>
            <w:vMerge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  <w:tc>
          <w:tcPr>
            <w:tcW w:w="1838" w:type="dxa"/>
            <w:vMerge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  <w:jc w:val="center"/>
            </w:pPr>
          </w:p>
        </w:tc>
        <w:tc>
          <w:tcPr>
            <w:tcW w:w="5622" w:type="dxa"/>
            <w:vMerge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</w:tr>
      <w:tr w:rsidR="00161164" w:rsidTr="003B0DAC">
        <w:trPr>
          <w:trHeight w:val="43"/>
        </w:trPr>
        <w:tc>
          <w:tcPr>
            <w:tcW w:w="3665" w:type="dxa"/>
            <w:shd w:val="clear" w:color="auto" w:fill="FFC000"/>
            <w:tcMar>
              <w:left w:w="103" w:type="dxa"/>
            </w:tcMar>
          </w:tcPr>
          <w:p w:rsidR="00161164" w:rsidRDefault="00161164">
            <w:pPr>
              <w:spacing w:after="0"/>
              <w:rPr>
                <w:b/>
                <w:smallCaps/>
              </w:rPr>
            </w:pPr>
          </w:p>
          <w:p w:rsidR="00161164" w:rsidRDefault="00161164">
            <w:pPr>
              <w:spacing w:after="0"/>
              <w:rPr>
                <w:b/>
                <w:smallCaps/>
              </w:rPr>
            </w:pPr>
            <w:r>
              <w:rPr>
                <w:b/>
                <w:smallCaps/>
              </w:rPr>
              <w:t>Aree di rischio specifiche dell’Ordine</w:t>
            </w:r>
          </w:p>
          <w:p w:rsidR="00161164" w:rsidRDefault="00161164">
            <w:pPr>
              <w:spacing w:after="0"/>
              <w:rPr>
                <w:b/>
                <w:smallCaps/>
              </w:rPr>
            </w:pPr>
          </w:p>
        </w:tc>
        <w:tc>
          <w:tcPr>
            <w:tcW w:w="337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  <w:tc>
          <w:tcPr>
            <w:tcW w:w="183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  <w:tc>
          <w:tcPr>
            <w:tcW w:w="5622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</w:p>
        </w:tc>
      </w:tr>
      <w:tr w:rsidR="00161164" w:rsidTr="003B0DAC">
        <w:trPr>
          <w:trHeight w:val="43"/>
        </w:trPr>
        <w:tc>
          <w:tcPr>
            <w:tcW w:w="3665" w:type="dxa"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Partnership con soggetti esterni quali enti di formazione</w:t>
            </w:r>
          </w:p>
        </w:tc>
        <w:tc>
          <w:tcPr>
            <w:tcW w:w="337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Inappropriata valutazione del provider</w:t>
            </w:r>
          </w:p>
        </w:tc>
        <w:tc>
          <w:tcPr>
            <w:tcW w:w="183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22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pStyle w:val="Paragrafoelenco"/>
              <w:spacing w:after="0"/>
            </w:pPr>
            <w:r>
              <w:t>Disamina di cv dei potenziali soggetti delegati</w:t>
            </w:r>
          </w:p>
        </w:tc>
      </w:tr>
      <w:tr w:rsidR="00161164" w:rsidTr="003B0DAC">
        <w:trPr>
          <w:trHeight w:val="43"/>
        </w:trPr>
        <w:tc>
          <w:tcPr>
            <w:tcW w:w="3665" w:type="dxa"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Controllo dei soggetti esterni autorizzati dal CNI come provider di formazione</w:t>
            </w:r>
          </w:p>
        </w:tc>
        <w:tc>
          <w:tcPr>
            <w:tcW w:w="337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Mancato o inappropriato controllo</w:t>
            </w:r>
          </w:p>
        </w:tc>
        <w:tc>
          <w:tcPr>
            <w:tcW w:w="183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  <w:jc w:val="center"/>
            </w:pPr>
            <w:r>
              <w:t>2</w:t>
            </w:r>
          </w:p>
        </w:tc>
        <w:tc>
          <w:tcPr>
            <w:tcW w:w="5622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pStyle w:val="Paragrafoelenco"/>
              <w:spacing w:after="0"/>
            </w:pPr>
            <w:r>
              <w:t>Disamina di cv dei potenziali soggetti delegati</w:t>
            </w:r>
          </w:p>
        </w:tc>
      </w:tr>
      <w:tr w:rsidR="00161164" w:rsidTr="003B0DAC">
        <w:trPr>
          <w:trHeight w:val="43"/>
        </w:trPr>
        <w:tc>
          <w:tcPr>
            <w:tcW w:w="3665" w:type="dxa"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Erogazione di attività di formazione da parte di Fondazioni connesse/collegate all’Ordine</w:t>
            </w:r>
          </w:p>
        </w:tc>
        <w:tc>
          <w:tcPr>
            <w:tcW w:w="337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Processo di gestione delle attività formative, avuto riguardo alla strutturazione didattica, ai costi, al rispetto delle Linee Guida</w:t>
            </w:r>
          </w:p>
        </w:tc>
        <w:tc>
          <w:tcPr>
            <w:tcW w:w="183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  <w:jc w:val="center"/>
            </w:pPr>
            <w:r>
              <w:t>1</w:t>
            </w:r>
          </w:p>
        </w:tc>
        <w:tc>
          <w:tcPr>
            <w:tcW w:w="5622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pStyle w:val="Paragrafoelenco"/>
              <w:spacing w:after="0"/>
            </w:pPr>
            <w:r>
              <w:t>Valutazione Consiliare</w:t>
            </w:r>
          </w:p>
        </w:tc>
      </w:tr>
      <w:tr w:rsidR="00161164" w:rsidTr="003B0DAC">
        <w:trPr>
          <w:trHeight w:val="43"/>
        </w:trPr>
        <w:tc>
          <w:tcPr>
            <w:tcW w:w="3665" w:type="dxa"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Erogazione in proprio di attività di formazione non a pagamento per gli iscritti</w:t>
            </w:r>
          </w:p>
        </w:tc>
        <w:tc>
          <w:tcPr>
            <w:tcW w:w="337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Mancato o inappropriato rispetto dei regolamenti e Linee guida sulla strutturazione didattica degli eventi</w:t>
            </w:r>
          </w:p>
        </w:tc>
        <w:tc>
          <w:tcPr>
            <w:tcW w:w="183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2" w:type="dxa"/>
            <w:shd w:val="clear" w:color="auto" w:fill="FFFFFF"/>
            <w:tcMar>
              <w:left w:w="103" w:type="dxa"/>
            </w:tcMar>
          </w:tcPr>
          <w:p w:rsidR="00161164" w:rsidRDefault="00161164" w:rsidP="003B0DAC">
            <w:pPr>
              <w:spacing w:after="0"/>
              <w:ind w:left="664"/>
            </w:pPr>
            <w:r>
              <w:t>Valutazione Consiliare</w:t>
            </w:r>
          </w:p>
        </w:tc>
      </w:tr>
      <w:tr w:rsidR="00161164" w:rsidTr="003B0DAC">
        <w:trPr>
          <w:trHeight w:val="43"/>
        </w:trPr>
        <w:tc>
          <w:tcPr>
            <w:tcW w:w="3665" w:type="dxa"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Erogazione in proprio di attività di formazione a pagamento per gli iscritti</w:t>
            </w:r>
          </w:p>
        </w:tc>
        <w:tc>
          <w:tcPr>
            <w:tcW w:w="337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 xml:space="preserve">Processo di erogazione diretta di servizi di formazione </w:t>
            </w:r>
          </w:p>
          <w:p w:rsidR="00161164" w:rsidRDefault="00161164">
            <w:pPr>
              <w:spacing w:after="0"/>
            </w:pPr>
          </w:p>
          <w:p w:rsidR="00161164" w:rsidRDefault="00161164">
            <w:pPr>
              <w:spacing w:after="0"/>
            </w:pPr>
          </w:p>
          <w:p w:rsidR="00161164" w:rsidRDefault="00161164">
            <w:pPr>
              <w:spacing w:after="0"/>
            </w:pPr>
          </w:p>
          <w:p w:rsidR="00161164" w:rsidRDefault="00161164">
            <w:pPr>
              <w:spacing w:after="0"/>
            </w:pPr>
            <w:r>
              <w:t>Processo di formazione del prezzo dell’evento formativo</w:t>
            </w:r>
          </w:p>
          <w:p w:rsidR="00161164" w:rsidRDefault="00161164">
            <w:pPr>
              <w:spacing w:after="0"/>
              <w:rPr>
                <w:color w:val="FF0000"/>
              </w:rPr>
            </w:pPr>
          </w:p>
        </w:tc>
        <w:tc>
          <w:tcPr>
            <w:tcW w:w="183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5622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pStyle w:val="Paragrafoelenco"/>
              <w:spacing w:after="0"/>
            </w:pPr>
            <w:r>
              <w:t>Valutazione Consiliare</w:t>
            </w:r>
          </w:p>
        </w:tc>
      </w:tr>
      <w:tr w:rsidR="00161164" w:rsidTr="003B0DAC">
        <w:trPr>
          <w:trHeight w:val="43"/>
        </w:trPr>
        <w:tc>
          <w:tcPr>
            <w:tcW w:w="3665" w:type="dxa"/>
            <w:shd w:val="clear" w:color="auto" w:fill="F2F2F2"/>
            <w:tcMar>
              <w:left w:w="103" w:type="dxa"/>
            </w:tcMar>
          </w:tcPr>
          <w:p w:rsidR="00161164" w:rsidRPr="003B0DAC" w:rsidRDefault="00161164">
            <w:pPr>
              <w:spacing w:after="0"/>
              <w:rPr>
                <w:dstrike/>
              </w:rPr>
            </w:pPr>
            <w:r w:rsidRPr="003B0DAC">
              <w:rPr>
                <w:dstrike/>
              </w:rPr>
              <w:t>Organizzazione del Congresso annuale</w:t>
            </w:r>
          </w:p>
        </w:tc>
        <w:tc>
          <w:tcPr>
            <w:tcW w:w="3378" w:type="dxa"/>
            <w:shd w:val="clear" w:color="auto" w:fill="FFFFFF"/>
            <w:tcMar>
              <w:left w:w="103" w:type="dxa"/>
            </w:tcMar>
          </w:tcPr>
          <w:p w:rsidR="00161164" w:rsidRPr="003B0DAC" w:rsidRDefault="00161164">
            <w:pPr>
              <w:spacing w:after="0"/>
              <w:rPr>
                <w:dstrike/>
              </w:rPr>
            </w:pPr>
            <w:r w:rsidRPr="003B0DAC">
              <w:rPr>
                <w:dstrike/>
              </w:rPr>
              <w:t>Processo di valutazione costi</w:t>
            </w:r>
          </w:p>
          <w:p w:rsidR="00161164" w:rsidRPr="003B0DAC" w:rsidRDefault="00161164">
            <w:pPr>
              <w:spacing w:after="0"/>
              <w:rPr>
                <w:dstrike/>
              </w:rPr>
            </w:pPr>
          </w:p>
          <w:p w:rsidR="00161164" w:rsidRPr="003B0DAC" w:rsidRDefault="00161164">
            <w:pPr>
              <w:spacing w:after="0"/>
              <w:rPr>
                <w:dstrike/>
              </w:rPr>
            </w:pPr>
          </w:p>
          <w:p w:rsidR="00161164" w:rsidRPr="003B0DAC" w:rsidRDefault="00161164">
            <w:pPr>
              <w:spacing w:after="0"/>
              <w:rPr>
                <w:dstrike/>
              </w:rPr>
            </w:pPr>
            <w:r w:rsidRPr="003B0DAC">
              <w:rPr>
                <w:dstrike/>
              </w:rPr>
              <w:t>Processo di individuazione di eventuali provider di servizi esterni</w:t>
            </w:r>
          </w:p>
        </w:tc>
        <w:tc>
          <w:tcPr>
            <w:tcW w:w="183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622" w:type="dxa"/>
            <w:shd w:val="clear" w:color="auto" w:fill="FFFFFF"/>
            <w:tcMar>
              <w:left w:w="103" w:type="dxa"/>
            </w:tcMar>
          </w:tcPr>
          <w:p w:rsidR="00161164" w:rsidRDefault="00161164" w:rsidP="003B0DAC">
            <w:pPr>
              <w:spacing w:after="0"/>
              <w:ind w:left="664"/>
            </w:pPr>
          </w:p>
        </w:tc>
      </w:tr>
      <w:tr w:rsidR="00161164" w:rsidTr="003B0DAC">
        <w:trPr>
          <w:trHeight w:val="43"/>
        </w:trPr>
        <w:tc>
          <w:tcPr>
            <w:tcW w:w="3665" w:type="dxa"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 xml:space="preserve">Concessione ed erogazione di sovvenzioni, contributi, sussidi, ausili a Centri studi, enti di ricerca, </w:t>
            </w:r>
            <w:proofErr w:type="spellStart"/>
            <w:r>
              <w:t>etc</w:t>
            </w:r>
            <w:proofErr w:type="spellEnd"/>
          </w:p>
        </w:tc>
        <w:tc>
          <w:tcPr>
            <w:tcW w:w="337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Processo di erogazione sovvenzione per attività in base al Piano Programmatico</w:t>
            </w:r>
          </w:p>
        </w:tc>
        <w:tc>
          <w:tcPr>
            <w:tcW w:w="183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22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pStyle w:val="Paragrafoelenco"/>
              <w:spacing w:after="0"/>
            </w:pPr>
            <w:r>
              <w:t>Applicazione regolamento</w:t>
            </w:r>
          </w:p>
          <w:p w:rsidR="00161164" w:rsidRDefault="00161164">
            <w:pPr>
              <w:pStyle w:val="Paragrafoelenco"/>
              <w:spacing w:after="0"/>
            </w:pPr>
            <w:r>
              <w:t>Ratifica di Consiglio</w:t>
            </w:r>
          </w:p>
        </w:tc>
      </w:tr>
      <w:tr w:rsidR="00161164" w:rsidTr="003B0DAC">
        <w:trPr>
          <w:trHeight w:val="43"/>
        </w:trPr>
        <w:tc>
          <w:tcPr>
            <w:tcW w:w="3665" w:type="dxa"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Versamento di quote associative presso enti ed organismi rappresentativi della categoria</w:t>
            </w:r>
          </w:p>
        </w:tc>
        <w:tc>
          <w:tcPr>
            <w:tcW w:w="337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Processo di valutazione di attività e Statuti Organismi internazionali</w:t>
            </w:r>
          </w:p>
        </w:tc>
        <w:tc>
          <w:tcPr>
            <w:tcW w:w="183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22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pStyle w:val="Paragrafoelenco"/>
              <w:spacing w:after="0"/>
            </w:pPr>
            <w:r>
              <w:t>Raccolta preliminari informazioni</w:t>
            </w:r>
          </w:p>
          <w:p w:rsidR="00161164" w:rsidRDefault="00161164">
            <w:pPr>
              <w:pStyle w:val="Paragrafoelenco"/>
              <w:spacing w:after="0"/>
            </w:pPr>
            <w:r>
              <w:t>Adozione di Consiglio</w:t>
            </w:r>
          </w:p>
        </w:tc>
      </w:tr>
      <w:tr w:rsidR="00161164" w:rsidTr="003B0DAC">
        <w:tc>
          <w:tcPr>
            <w:tcW w:w="3665" w:type="dxa"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Gestione dei provider esterni che pongono in essere servizi essenziali (IT, comunicazione, etc.)</w:t>
            </w:r>
          </w:p>
        </w:tc>
        <w:tc>
          <w:tcPr>
            <w:tcW w:w="337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Mancato raggiungimento del livello qualitativo dei servizi</w:t>
            </w:r>
          </w:p>
        </w:tc>
        <w:tc>
          <w:tcPr>
            <w:tcW w:w="183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22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pStyle w:val="Paragrafoelenco"/>
              <w:spacing w:after="0"/>
            </w:pPr>
            <w:r>
              <w:t>Valutazione Consiliare sulla base del bilancio</w:t>
            </w:r>
          </w:p>
        </w:tc>
      </w:tr>
      <w:tr w:rsidR="00161164" w:rsidTr="003B0DAC">
        <w:tc>
          <w:tcPr>
            <w:tcW w:w="3665" w:type="dxa"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Concessione di Patrocinio ad eventi di soggetti terzi</w:t>
            </w:r>
          </w:p>
        </w:tc>
        <w:tc>
          <w:tcPr>
            <w:tcW w:w="337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Processo di concessione di patrocinio</w:t>
            </w:r>
          </w:p>
        </w:tc>
        <w:tc>
          <w:tcPr>
            <w:tcW w:w="183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22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pStyle w:val="Paragrafoelenco"/>
              <w:spacing w:after="0"/>
            </w:pPr>
            <w:r>
              <w:t>Valutazione Consiliare</w:t>
            </w:r>
          </w:p>
        </w:tc>
      </w:tr>
      <w:tr w:rsidR="00161164" w:rsidTr="003B0DAC">
        <w:tc>
          <w:tcPr>
            <w:tcW w:w="3665" w:type="dxa"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Partecipazione del Presidente dell’Ordine o di Consiglieri ad eventi esterni</w:t>
            </w:r>
          </w:p>
        </w:tc>
        <w:tc>
          <w:tcPr>
            <w:tcW w:w="337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Processo di valutazione dell’evento, avuto riguardo agli organizzatori, ai contenuti, ad eventuali conflitti di interesse</w:t>
            </w:r>
          </w:p>
        </w:tc>
        <w:tc>
          <w:tcPr>
            <w:tcW w:w="183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22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pStyle w:val="Paragrafoelenco"/>
              <w:spacing w:after="0"/>
            </w:pPr>
            <w:r>
              <w:t>Raccolta informazioni</w:t>
            </w:r>
          </w:p>
        </w:tc>
      </w:tr>
      <w:tr w:rsidR="00161164" w:rsidTr="003B0DAC">
        <w:tc>
          <w:tcPr>
            <w:tcW w:w="3665" w:type="dxa"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Partecipazione del Presidente dell’Ordine o di Consiglieri ad associazioni oppure enti i cui ambiti di interesse ed operatività siano coincidenti o simili a quelli dell’Ordine</w:t>
            </w:r>
          </w:p>
        </w:tc>
        <w:tc>
          <w:tcPr>
            <w:tcW w:w="337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Processo di valutazione dell’ente, dello statuto e dell’oggetto sociale</w:t>
            </w:r>
          </w:p>
        </w:tc>
        <w:tc>
          <w:tcPr>
            <w:tcW w:w="1838" w:type="dxa"/>
            <w:shd w:val="clear" w:color="auto" w:fill="FFFFFF"/>
            <w:tcMar>
              <w:left w:w="103" w:type="dxa"/>
            </w:tcMar>
          </w:tcPr>
          <w:p w:rsidR="00161164" w:rsidRDefault="00161164" w:rsidP="009B582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22" w:type="dxa"/>
            <w:shd w:val="clear" w:color="auto" w:fill="FFFFFF"/>
            <w:tcMar>
              <w:left w:w="103" w:type="dxa"/>
            </w:tcMar>
          </w:tcPr>
          <w:p w:rsidR="00161164" w:rsidRDefault="00161164" w:rsidP="009B582A">
            <w:pPr>
              <w:pStyle w:val="Paragrafoelenco"/>
              <w:spacing w:after="0"/>
            </w:pPr>
            <w:r>
              <w:t>Raccolta informazioni</w:t>
            </w:r>
          </w:p>
        </w:tc>
      </w:tr>
      <w:tr w:rsidR="00161164" w:rsidTr="003B0DAC">
        <w:tc>
          <w:tcPr>
            <w:tcW w:w="3665" w:type="dxa"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Determinazione delle quote annuali dovute dagli iscritti</w:t>
            </w:r>
          </w:p>
        </w:tc>
        <w:tc>
          <w:tcPr>
            <w:tcW w:w="337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Processo di valutazione e determinazione assunta in sede Consiliare</w:t>
            </w:r>
          </w:p>
        </w:tc>
        <w:tc>
          <w:tcPr>
            <w:tcW w:w="183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2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pStyle w:val="Paragrafoelenco"/>
              <w:spacing w:after="0"/>
            </w:pPr>
            <w:r>
              <w:t>Analisi da parte del Consiglio</w:t>
            </w:r>
          </w:p>
        </w:tc>
      </w:tr>
      <w:tr w:rsidR="00161164" w:rsidTr="003B0DAC">
        <w:tc>
          <w:tcPr>
            <w:tcW w:w="3665" w:type="dxa"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lastRenderedPageBreak/>
              <w:t>Rimborsi spese</w:t>
            </w:r>
          </w:p>
          <w:p w:rsidR="00161164" w:rsidRDefault="00161164">
            <w:pPr>
              <w:spacing w:after="0"/>
            </w:pPr>
            <w:r>
              <w:t>A Consiglieri</w:t>
            </w:r>
          </w:p>
          <w:p w:rsidR="00161164" w:rsidRDefault="00161164">
            <w:pPr>
              <w:spacing w:after="0"/>
            </w:pPr>
            <w:r>
              <w:t>A personale</w:t>
            </w:r>
          </w:p>
        </w:tc>
        <w:tc>
          <w:tcPr>
            <w:tcW w:w="337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Autorizzazione di spese e rimborsi non conformi alle previsioni regolamentari interne</w:t>
            </w:r>
          </w:p>
        </w:tc>
        <w:tc>
          <w:tcPr>
            <w:tcW w:w="183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22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pStyle w:val="Paragrafoelenco"/>
              <w:spacing w:after="0"/>
            </w:pPr>
          </w:p>
        </w:tc>
      </w:tr>
      <w:tr w:rsidR="00161164" w:rsidTr="003B0DAC">
        <w:tc>
          <w:tcPr>
            <w:tcW w:w="3665" w:type="dxa"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Procedimento elettorale</w:t>
            </w:r>
          </w:p>
        </w:tc>
        <w:tc>
          <w:tcPr>
            <w:tcW w:w="337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Processo per indizione e gestione delle elezioni del nuovo Consiglio dell’Ordine</w:t>
            </w:r>
          </w:p>
        </w:tc>
        <w:tc>
          <w:tcPr>
            <w:tcW w:w="183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22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pStyle w:val="Paragrafoelenco"/>
              <w:spacing w:after="0"/>
            </w:pPr>
          </w:p>
        </w:tc>
      </w:tr>
      <w:tr w:rsidR="00161164" w:rsidTr="003B0DAC">
        <w:tc>
          <w:tcPr>
            <w:tcW w:w="3665" w:type="dxa"/>
            <w:shd w:val="clear" w:color="auto" w:fill="F2F2F2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Procedimento di selezione dei Consiglieri di Disciplina</w:t>
            </w:r>
          </w:p>
        </w:tc>
        <w:tc>
          <w:tcPr>
            <w:tcW w:w="337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</w:pPr>
            <w:r>
              <w:t>Processo per la formazione della lista dei professionisti da inoltrare al Presidente del Tribunale</w:t>
            </w:r>
          </w:p>
        </w:tc>
        <w:tc>
          <w:tcPr>
            <w:tcW w:w="1838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22" w:type="dxa"/>
            <w:shd w:val="clear" w:color="auto" w:fill="FFFFFF"/>
            <w:tcMar>
              <w:left w:w="103" w:type="dxa"/>
            </w:tcMar>
          </w:tcPr>
          <w:p w:rsidR="00161164" w:rsidRDefault="00161164">
            <w:pPr>
              <w:pStyle w:val="Paragrafoelenco"/>
              <w:spacing w:after="0"/>
            </w:pPr>
            <w:r>
              <w:t>Applicazione del regolamento</w:t>
            </w:r>
          </w:p>
        </w:tc>
      </w:tr>
    </w:tbl>
    <w:p w:rsidR="00161164" w:rsidRDefault="00161164"/>
    <w:sectPr w:rsidR="00161164" w:rsidSect="00393C5A">
      <w:pgSz w:w="16838" w:h="11906" w:orient="landscape"/>
      <w:pgMar w:top="1134" w:right="1417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B0D6A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E7440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5A"/>
    <w:rsid w:val="000C69CD"/>
    <w:rsid w:val="000D1737"/>
    <w:rsid w:val="00161164"/>
    <w:rsid w:val="0017296D"/>
    <w:rsid w:val="00393C5A"/>
    <w:rsid w:val="003B0DAC"/>
    <w:rsid w:val="004E4BCE"/>
    <w:rsid w:val="008874A8"/>
    <w:rsid w:val="009B582A"/>
    <w:rsid w:val="00A926A6"/>
    <w:rsid w:val="00C925E2"/>
    <w:rsid w:val="00C96F5C"/>
    <w:rsid w:val="00CD57DD"/>
    <w:rsid w:val="00D23579"/>
    <w:rsid w:val="00E37D50"/>
    <w:rsid w:val="00EE0D6E"/>
    <w:rsid w:val="00FB2F38"/>
    <w:rsid w:val="00FD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52D793-433C-4BE1-BF00-B7DAD96C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25E2"/>
    <w:pPr>
      <w:suppressAutoHyphens/>
      <w:spacing w:after="160" w:line="259" w:lineRule="auto"/>
    </w:pPr>
    <w:rPr>
      <w:color w:val="00000A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sid w:val="00C925E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uiPriority w:val="99"/>
    <w:rsid w:val="00393C5A"/>
  </w:style>
  <w:style w:type="character" w:customStyle="1" w:styleId="ListLabel2">
    <w:name w:val="ListLabel 2"/>
    <w:uiPriority w:val="99"/>
    <w:rsid w:val="00393C5A"/>
    <w:rPr>
      <w:color w:val="00000A"/>
    </w:rPr>
  </w:style>
  <w:style w:type="character" w:customStyle="1" w:styleId="ListLabel3">
    <w:name w:val="ListLabel 3"/>
    <w:uiPriority w:val="99"/>
    <w:rsid w:val="00393C5A"/>
  </w:style>
  <w:style w:type="character" w:customStyle="1" w:styleId="ListLabel4">
    <w:name w:val="ListLabel 4"/>
    <w:uiPriority w:val="99"/>
    <w:rsid w:val="00393C5A"/>
  </w:style>
  <w:style w:type="character" w:customStyle="1" w:styleId="ListLabel5">
    <w:name w:val="ListLabel 5"/>
    <w:uiPriority w:val="99"/>
    <w:rsid w:val="00393C5A"/>
  </w:style>
  <w:style w:type="paragraph" w:styleId="Titolo">
    <w:name w:val="Title"/>
    <w:basedOn w:val="Normale"/>
    <w:next w:val="Corpotesto"/>
    <w:link w:val="TitoloCarattere"/>
    <w:uiPriority w:val="99"/>
    <w:qFormat/>
    <w:rsid w:val="00393C5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393C5A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color w:val="00000A"/>
      <w:lang w:eastAsia="en-US"/>
    </w:rPr>
  </w:style>
  <w:style w:type="paragraph" w:styleId="Elenco">
    <w:name w:val="List"/>
    <w:basedOn w:val="Corpotesto"/>
    <w:uiPriority w:val="99"/>
    <w:rsid w:val="00393C5A"/>
    <w:rPr>
      <w:rFonts w:cs="Mangal"/>
    </w:rPr>
  </w:style>
  <w:style w:type="paragraph" w:styleId="Didascalia">
    <w:name w:val="caption"/>
    <w:basedOn w:val="Normale"/>
    <w:uiPriority w:val="99"/>
    <w:qFormat/>
    <w:rsid w:val="00393C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393C5A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C925E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C92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imes New Roman" w:hAnsi="Times New Roman" w:cs="Times New Roman"/>
      <w:color w:val="00000A"/>
      <w:sz w:val="2"/>
      <w:lang w:eastAsia="en-US"/>
    </w:rPr>
  </w:style>
  <w:style w:type="paragraph" w:customStyle="1" w:styleId="Contenutotabella">
    <w:name w:val="Contenuto tabella"/>
    <w:basedOn w:val="Normale"/>
    <w:uiPriority w:val="99"/>
    <w:rsid w:val="00393C5A"/>
  </w:style>
  <w:style w:type="paragraph" w:customStyle="1" w:styleId="Titolotabella">
    <w:name w:val="Titolo tabella"/>
    <w:basedOn w:val="Contenutotabella"/>
    <w:uiPriority w:val="99"/>
    <w:rsid w:val="00393C5A"/>
  </w:style>
  <w:style w:type="table" w:styleId="Grigliatabella">
    <w:name w:val="Table Grid"/>
    <w:basedOn w:val="Tabellanormale"/>
    <w:uiPriority w:val="99"/>
    <w:rsid w:val="00C925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Rosalisa Lancia</dc:creator>
  <cp:keywords/>
  <dc:description/>
  <cp:lastModifiedBy>Silvia</cp:lastModifiedBy>
  <cp:revision>9</cp:revision>
  <cp:lastPrinted>2018-01-25T08:21:00Z</cp:lastPrinted>
  <dcterms:created xsi:type="dcterms:W3CDTF">2018-01-25T08:21:00Z</dcterms:created>
  <dcterms:modified xsi:type="dcterms:W3CDTF">2021-03-02T10:21:00Z</dcterms:modified>
</cp:coreProperties>
</file>